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89" w:type="dxa"/>
        <w:shd w:val="clear" w:color="auto" w:fill="FFFFFF"/>
        <w:tblCellMar>
          <w:top w:w="15" w:type="dxa"/>
          <w:left w:w="15" w:type="dxa"/>
          <w:bottom w:w="15" w:type="dxa"/>
          <w:right w:w="15" w:type="dxa"/>
        </w:tblCellMar>
        <w:tblLook w:val="04A0" w:firstRow="1" w:lastRow="0" w:firstColumn="1" w:lastColumn="0" w:noHBand="0" w:noVBand="1"/>
      </w:tblPr>
      <w:tblGrid>
        <w:gridCol w:w="2779"/>
        <w:gridCol w:w="6010"/>
      </w:tblGrid>
      <w:tr w:rsidR="003F299A" w:rsidRPr="00A34488" w14:paraId="2CECBCE5" w14:textId="77777777" w:rsidTr="000A49BA">
        <w:tc>
          <w:tcPr>
            <w:tcW w:w="0" w:type="auto"/>
            <w:tcBorders>
              <w:bottom w:val="single" w:sz="6" w:space="0" w:color="E6E6E6"/>
            </w:tcBorders>
            <w:shd w:val="clear" w:color="auto" w:fill="FFFFFF"/>
            <w:hideMark/>
          </w:tcPr>
          <w:p w14:paraId="71DFAB78" w14:textId="77777777" w:rsidR="003F299A" w:rsidRPr="00A34488" w:rsidRDefault="003F299A" w:rsidP="000A49BA">
            <w:pPr>
              <w:rPr>
                <w:b/>
                <w:bCs/>
              </w:rPr>
            </w:pPr>
            <w:r w:rsidRPr="00A34488">
              <w:rPr>
                <w:b/>
                <w:bCs/>
              </w:rPr>
              <w:t>Title</w:t>
            </w:r>
          </w:p>
        </w:tc>
        <w:tc>
          <w:tcPr>
            <w:tcW w:w="6010" w:type="dxa"/>
            <w:tcBorders>
              <w:bottom w:val="single" w:sz="6" w:space="0" w:color="E6E6E6"/>
            </w:tcBorders>
            <w:shd w:val="clear" w:color="auto" w:fill="FFFFFF"/>
            <w:hideMark/>
          </w:tcPr>
          <w:p w14:paraId="2CC216AD" w14:textId="2C092C82" w:rsidR="003F299A" w:rsidRPr="00A34488" w:rsidRDefault="00C2765B" w:rsidP="000A49BA">
            <w:pPr>
              <w:rPr>
                <w:sz w:val="18"/>
                <w:szCs w:val="18"/>
              </w:rPr>
            </w:pPr>
            <w:r>
              <w:rPr>
                <w:sz w:val="18"/>
                <w:szCs w:val="18"/>
              </w:rPr>
              <w:t>Flora</w:t>
            </w:r>
            <w:r w:rsidR="00C306DE">
              <w:rPr>
                <w:sz w:val="18"/>
                <w:szCs w:val="18"/>
              </w:rPr>
              <w:t xml:space="preserve"> Maxent modelling</w:t>
            </w:r>
            <w:r w:rsidR="00BB5614">
              <w:rPr>
                <w:sz w:val="18"/>
                <w:szCs w:val="18"/>
              </w:rPr>
              <w:t>: NARCliM (climate) Projections 2000-2030-2070</w:t>
            </w:r>
          </w:p>
        </w:tc>
      </w:tr>
      <w:tr w:rsidR="003F299A" w:rsidRPr="00A34488" w14:paraId="3685FDF3" w14:textId="77777777" w:rsidTr="000A49BA">
        <w:tc>
          <w:tcPr>
            <w:tcW w:w="0" w:type="auto"/>
            <w:tcBorders>
              <w:bottom w:val="single" w:sz="6" w:space="0" w:color="E6E6E6"/>
            </w:tcBorders>
            <w:shd w:val="clear" w:color="auto" w:fill="FFFFFF"/>
            <w:hideMark/>
          </w:tcPr>
          <w:p w14:paraId="11177310" w14:textId="77777777" w:rsidR="003F299A" w:rsidRPr="00A34488" w:rsidRDefault="003F299A" w:rsidP="000A49BA">
            <w:pPr>
              <w:rPr>
                <w:b/>
                <w:bCs/>
              </w:rPr>
            </w:pPr>
            <w:r w:rsidRPr="00A34488">
              <w:rPr>
                <w:b/>
                <w:bCs/>
              </w:rPr>
              <w:t>File identifier</w:t>
            </w:r>
          </w:p>
        </w:tc>
        <w:tc>
          <w:tcPr>
            <w:tcW w:w="6010" w:type="dxa"/>
            <w:tcBorders>
              <w:bottom w:val="single" w:sz="6" w:space="0" w:color="E6E6E6"/>
            </w:tcBorders>
            <w:shd w:val="clear" w:color="auto" w:fill="FFFFFF"/>
            <w:hideMark/>
          </w:tcPr>
          <w:p w14:paraId="4BA5E66F" w14:textId="77777777" w:rsidR="003F299A" w:rsidRPr="00A34488" w:rsidRDefault="003F299A" w:rsidP="000A49BA">
            <w:pPr>
              <w:rPr>
                <w:sz w:val="18"/>
                <w:szCs w:val="18"/>
              </w:rPr>
            </w:pPr>
            <w:r w:rsidRPr="00A34488">
              <w:rPr>
                <w:sz w:val="18"/>
                <w:szCs w:val="18"/>
              </w:rPr>
              <w:t>The unique identifier for the metadata file</w:t>
            </w:r>
          </w:p>
        </w:tc>
      </w:tr>
      <w:tr w:rsidR="00C306DE" w:rsidRPr="00A34488" w14:paraId="5DC32D5E" w14:textId="77777777" w:rsidTr="000A49BA">
        <w:tc>
          <w:tcPr>
            <w:tcW w:w="0" w:type="auto"/>
            <w:tcBorders>
              <w:bottom w:val="single" w:sz="6" w:space="0" w:color="E6E6E6"/>
            </w:tcBorders>
            <w:shd w:val="clear" w:color="auto" w:fill="FFFFFF"/>
            <w:hideMark/>
          </w:tcPr>
          <w:p w14:paraId="4D6C3402" w14:textId="77777777" w:rsidR="00C306DE" w:rsidRPr="00A34488" w:rsidRDefault="00C306DE" w:rsidP="00C306DE">
            <w:pPr>
              <w:rPr>
                <w:b/>
                <w:bCs/>
              </w:rPr>
            </w:pPr>
            <w:r w:rsidRPr="00A34488">
              <w:rPr>
                <w:b/>
                <w:bCs/>
              </w:rPr>
              <w:t>Abstract</w:t>
            </w:r>
          </w:p>
        </w:tc>
        <w:tc>
          <w:tcPr>
            <w:tcW w:w="6010" w:type="dxa"/>
            <w:tcBorders>
              <w:bottom w:val="single" w:sz="6" w:space="0" w:color="E6E6E6"/>
            </w:tcBorders>
            <w:shd w:val="clear" w:color="auto" w:fill="FFFFFF"/>
            <w:hideMark/>
          </w:tcPr>
          <w:p w14:paraId="6A741CF8" w14:textId="658A95DC" w:rsidR="00612033" w:rsidRDefault="00612033" w:rsidP="00612033">
            <w:pPr>
              <w:rPr>
                <w:sz w:val="18"/>
                <w:szCs w:val="18"/>
              </w:rPr>
            </w:pPr>
            <w:r>
              <w:rPr>
                <w:sz w:val="18"/>
                <w:szCs w:val="18"/>
              </w:rPr>
              <w:t>Variation in flora species distribution due to climate change was modelled</w:t>
            </w:r>
            <w:r w:rsidR="00E70035">
              <w:rPr>
                <w:sz w:val="18"/>
                <w:szCs w:val="18"/>
              </w:rPr>
              <w:t xml:space="preserve"> in </w:t>
            </w:r>
            <w:r w:rsidR="00F6085D">
              <w:rPr>
                <w:sz w:val="18"/>
                <w:szCs w:val="18"/>
              </w:rPr>
              <w:t>M</w:t>
            </w:r>
            <w:r w:rsidR="00E70035">
              <w:rPr>
                <w:sz w:val="18"/>
                <w:szCs w:val="18"/>
              </w:rPr>
              <w:t>axent</w:t>
            </w:r>
            <w:r>
              <w:rPr>
                <w:sz w:val="18"/>
                <w:szCs w:val="18"/>
              </w:rPr>
              <w:t xml:space="preserve"> using NARCliM</w:t>
            </w:r>
            <w:r w:rsidR="00557C9D">
              <w:rPr>
                <w:sz w:val="18"/>
                <w:szCs w:val="18"/>
              </w:rPr>
              <w:t xml:space="preserve"> variables (GCM MIROC3.</w:t>
            </w:r>
            <w:r w:rsidR="00B5087D">
              <w:rPr>
                <w:sz w:val="18"/>
                <w:szCs w:val="18"/>
              </w:rPr>
              <w:t>2</w:t>
            </w:r>
            <w:r w:rsidR="00557C9D">
              <w:rPr>
                <w:sz w:val="18"/>
                <w:szCs w:val="18"/>
              </w:rPr>
              <w:t>; RCM R1</w:t>
            </w:r>
            <w:r w:rsidR="00906337">
              <w:rPr>
                <w:sz w:val="18"/>
                <w:szCs w:val="18"/>
              </w:rPr>
              <w:t>)</w:t>
            </w:r>
            <w:r w:rsidR="00B5087D">
              <w:rPr>
                <w:sz w:val="18"/>
                <w:szCs w:val="18"/>
              </w:rPr>
              <w:t xml:space="preserve"> provided by the</w:t>
            </w:r>
            <w:r w:rsidR="00B5087D">
              <w:t xml:space="preserve"> </w:t>
            </w:r>
            <w:r w:rsidR="00B5087D" w:rsidRPr="00B5087D">
              <w:rPr>
                <w:sz w:val="18"/>
                <w:szCs w:val="18"/>
              </w:rPr>
              <w:t>Science, Economics and Insights Division</w:t>
            </w:r>
            <w:r w:rsidR="00B5087D">
              <w:rPr>
                <w:sz w:val="18"/>
                <w:szCs w:val="18"/>
              </w:rPr>
              <w:t xml:space="preserve"> of DPIE NSW</w:t>
            </w:r>
            <w:r w:rsidR="00906337">
              <w:rPr>
                <w:sz w:val="18"/>
                <w:szCs w:val="18"/>
              </w:rPr>
              <w:t>,</w:t>
            </w:r>
            <w:bookmarkStart w:id="0" w:name="_GoBack"/>
            <w:bookmarkEnd w:id="0"/>
            <w:r w:rsidR="00557C9D">
              <w:rPr>
                <w:sz w:val="18"/>
                <w:szCs w:val="18"/>
              </w:rPr>
              <w:t xml:space="preserve"> along with rel</w:t>
            </w:r>
            <w:r w:rsidR="00B5087D">
              <w:rPr>
                <w:sz w:val="18"/>
                <w:szCs w:val="18"/>
              </w:rPr>
              <w:t xml:space="preserve">evant topographic layers from the </w:t>
            </w:r>
            <w:r w:rsidR="00B5087D" w:rsidRPr="007E122E">
              <w:rPr>
                <w:sz w:val="18"/>
                <w:szCs w:val="18"/>
              </w:rPr>
              <w:t>State Vegetation Type Map (SVTM) Modelling Grid Collection</w:t>
            </w:r>
            <w:r w:rsidR="00B5087D">
              <w:rPr>
                <w:sz w:val="18"/>
                <w:szCs w:val="18"/>
              </w:rPr>
              <w:t xml:space="preserve"> (</w:t>
            </w:r>
            <w:hyperlink r:id="rId7" w:history="1">
              <w:r w:rsidR="00B5087D" w:rsidRPr="00CF581E">
                <w:rPr>
                  <w:rStyle w:val="Hyperlink"/>
                  <w:sz w:val="18"/>
                  <w:szCs w:val="18"/>
                </w:rPr>
                <w:t>https://datasets.seed.nsw.gov.au/dataset/svtm-modelling-grid-collection</w:t>
              </w:r>
            </w:hyperlink>
            <w:r w:rsidR="00B5087D">
              <w:rPr>
                <w:sz w:val="18"/>
                <w:szCs w:val="18"/>
              </w:rPr>
              <w:t>)</w:t>
            </w:r>
            <w:r w:rsidR="00B5087D">
              <w:rPr>
                <w:sz w:val="18"/>
                <w:szCs w:val="18"/>
              </w:rPr>
              <w:t xml:space="preserve"> as </w:t>
            </w:r>
            <w:r w:rsidR="00B5087D">
              <w:rPr>
                <w:sz w:val="18"/>
                <w:szCs w:val="18"/>
              </w:rPr>
              <w:t>described in the NRC publication ‘</w:t>
            </w:r>
            <w:r w:rsidR="00B5087D" w:rsidRPr="00437367">
              <w:rPr>
                <w:sz w:val="18"/>
                <w:szCs w:val="18"/>
              </w:rPr>
              <w:t>NSW Forest Monitoring and Improvement Program</w:t>
            </w:r>
            <w:r w:rsidR="00B5087D">
              <w:rPr>
                <w:sz w:val="18"/>
                <w:szCs w:val="18"/>
              </w:rPr>
              <w:t xml:space="preserve">: </w:t>
            </w:r>
            <w:r w:rsidR="00B5087D" w:rsidRPr="00437367">
              <w:rPr>
                <w:sz w:val="18"/>
                <w:szCs w:val="18"/>
              </w:rPr>
              <w:t>Final Report</w:t>
            </w:r>
            <w:r w:rsidR="00B5087D">
              <w:rPr>
                <w:sz w:val="18"/>
                <w:szCs w:val="18"/>
              </w:rPr>
              <w:t xml:space="preserve">. </w:t>
            </w:r>
            <w:r w:rsidR="00B5087D" w:rsidRPr="00437367">
              <w:rPr>
                <w:sz w:val="18"/>
                <w:szCs w:val="18"/>
              </w:rPr>
              <w:t>Project 2: Baselines, drivers and trends for species occupancy and</w:t>
            </w:r>
            <w:r w:rsidR="00B5087D">
              <w:rPr>
                <w:sz w:val="18"/>
                <w:szCs w:val="18"/>
              </w:rPr>
              <w:t xml:space="preserve"> </w:t>
            </w:r>
            <w:r w:rsidR="00B5087D" w:rsidRPr="00437367">
              <w:rPr>
                <w:sz w:val="18"/>
                <w:szCs w:val="18"/>
              </w:rPr>
              <w:t>distribution</w:t>
            </w:r>
            <w:r w:rsidR="00B5087D">
              <w:rPr>
                <w:sz w:val="18"/>
                <w:szCs w:val="18"/>
              </w:rPr>
              <w:t>.</w:t>
            </w:r>
          </w:p>
          <w:p w14:paraId="02CE8AFC" w14:textId="04939EAA" w:rsidR="00F6085D" w:rsidRDefault="00F6085D" w:rsidP="00612033">
            <w:pPr>
              <w:rPr>
                <w:sz w:val="18"/>
                <w:szCs w:val="18"/>
              </w:rPr>
            </w:pPr>
            <w:r>
              <w:rPr>
                <w:sz w:val="18"/>
                <w:szCs w:val="18"/>
              </w:rPr>
              <w:t xml:space="preserve">Species data from systematic surveys (~1989-2000) and </w:t>
            </w:r>
            <w:proofErr w:type="spellStart"/>
            <w:r>
              <w:rPr>
                <w:sz w:val="18"/>
                <w:szCs w:val="18"/>
              </w:rPr>
              <w:t>Atlas</w:t>
            </w:r>
            <w:proofErr w:type="spellEnd"/>
            <w:r>
              <w:rPr>
                <w:sz w:val="18"/>
                <w:szCs w:val="18"/>
              </w:rPr>
              <w:t xml:space="preserve"> of Living Australia (~1991-1998) was used for presence-only occurrence</w:t>
            </w:r>
            <w:r w:rsidR="00906337">
              <w:rPr>
                <w:sz w:val="18"/>
                <w:szCs w:val="18"/>
              </w:rPr>
              <w:t>s</w:t>
            </w:r>
            <w:r>
              <w:rPr>
                <w:sz w:val="18"/>
                <w:szCs w:val="18"/>
              </w:rPr>
              <w:t xml:space="preserve">, and a ‘baseline’ distribution model was constructed for year 2000. From there, </w:t>
            </w:r>
            <w:r w:rsidR="00906337">
              <w:rPr>
                <w:sz w:val="18"/>
                <w:szCs w:val="18"/>
              </w:rPr>
              <w:t>c</w:t>
            </w:r>
            <w:r>
              <w:rPr>
                <w:sz w:val="18"/>
                <w:szCs w:val="18"/>
              </w:rPr>
              <w:t>limate projections were generated for 2030 and 2070 using the appropriate NARCliM bioclimatic surfaces.</w:t>
            </w:r>
          </w:p>
          <w:p w14:paraId="3F12BEF4" w14:textId="35CF42CD" w:rsidR="00612033" w:rsidRDefault="00B5087D" w:rsidP="00C306DE">
            <w:pPr>
              <w:rPr>
                <w:sz w:val="18"/>
                <w:szCs w:val="18"/>
              </w:rPr>
            </w:pPr>
            <w:r>
              <w:rPr>
                <w:sz w:val="18"/>
                <w:szCs w:val="18"/>
              </w:rPr>
              <w:t>Climate projection was undertaken using</w:t>
            </w:r>
            <w:r w:rsidR="00BB5614">
              <w:rPr>
                <w:sz w:val="18"/>
                <w:szCs w:val="18"/>
              </w:rPr>
              <w:t xml:space="preserve"> </w:t>
            </w:r>
            <w:r w:rsidR="00612033">
              <w:rPr>
                <w:sz w:val="18"/>
                <w:szCs w:val="18"/>
              </w:rPr>
              <w:t>M</w:t>
            </w:r>
            <w:r w:rsidR="00BB5614">
              <w:rPr>
                <w:sz w:val="18"/>
                <w:szCs w:val="18"/>
              </w:rPr>
              <w:t xml:space="preserve">axent software </w:t>
            </w:r>
            <w:r w:rsidR="00612033">
              <w:rPr>
                <w:sz w:val="18"/>
                <w:szCs w:val="18"/>
              </w:rPr>
              <w:t>(</w:t>
            </w:r>
            <w:r w:rsidR="00612033">
              <w:rPr>
                <w:sz w:val="18"/>
                <w:szCs w:val="18"/>
              </w:rPr>
              <w:t>Steven Phillips</w:t>
            </w:r>
            <w:r w:rsidR="00612033">
              <w:rPr>
                <w:sz w:val="18"/>
                <w:szCs w:val="18"/>
              </w:rPr>
              <w:t xml:space="preserve"> </w:t>
            </w:r>
            <w:hyperlink r:id="rId8" w:history="1">
              <w:r w:rsidR="00612033" w:rsidRPr="008F708B">
                <w:rPr>
                  <w:rStyle w:val="Hyperlink"/>
                  <w:sz w:val="18"/>
                  <w:szCs w:val="18"/>
                </w:rPr>
                <w:t>https://biodiversityinformatics.amnh.org/open_source/maxent/</w:t>
              </w:r>
            </w:hyperlink>
            <w:r w:rsidR="00612033">
              <w:rPr>
                <w:sz w:val="18"/>
                <w:szCs w:val="18"/>
              </w:rPr>
              <w:t xml:space="preserve"> and references therein)</w:t>
            </w:r>
            <w:r w:rsidR="00612033">
              <w:rPr>
                <w:sz w:val="18"/>
                <w:szCs w:val="18"/>
              </w:rPr>
              <w:t xml:space="preserve">, </w:t>
            </w:r>
            <w:r>
              <w:rPr>
                <w:sz w:val="18"/>
                <w:szCs w:val="18"/>
              </w:rPr>
              <w:t xml:space="preserve">which </w:t>
            </w:r>
            <w:r w:rsidR="00612033">
              <w:rPr>
                <w:sz w:val="18"/>
                <w:szCs w:val="18"/>
              </w:rPr>
              <w:t>has the capacity extend analysis either spatially or temporally, based on covariate (‘variable’) data for different locations (spatial) or different epochs (temporal). Temporal projection is typically used to model the effects of climate change.</w:t>
            </w:r>
          </w:p>
          <w:p w14:paraId="4B141DAC" w14:textId="2E3A8CCB" w:rsidR="00C306DE" w:rsidRPr="00A34488" w:rsidRDefault="00C306DE" w:rsidP="00BB5614">
            <w:pPr>
              <w:rPr>
                <w:sz w:val="18"/>
                <w:szCs w:val="18"/>
              </w:rPr>
            </w:pPr>
            <w:r>
              <w:rPr>
                <w:sz w:val="18"/>
                <w:szCs w:val="18"/>
              </w:rPr>
              <w:t>Models do not predict actual occupancy, but rather habitat suitability: confounding factors such as inter-species competition, geographical barriers and disturbance events play a significant role on species occurrence, and are not considered in Maxent.</w:t>
            </w:r>
          </w:p>
        </w:tc>
      </w:tr>
      <w:tr w:rsidR="003F299A" w:rsidRPr="00A34488" w14:paraId="48C7CD2C" w14:textId="77777777" w:rsidTr="00493C03">
        <w:tc>
          <w:tcPr>
            <w:tcW w:w="0" w:type="auto"/>
            <w:tcBorders>
              <w:bottom w:val="single" w:sz="6" w:space="0" w:color="E6E6E6"/>
            </w:tcBorders>
            <w:shd w:val="clear" w:color="auto" w:fill="FFFFFF"/>
            <w:hideMark/>
          </w:tcPr>
          <w:p w14:paraId="23B05FD8" w14:textId="77777777" w:rsidR="003F299A" w:rsidRPr="00A34488" w:rsidRDefault="003F299A" w:rsidP="000A49BA">
            <w:pPr>
              <w:rPr>
                <w:b/>
                <w:bCs/>
              </w:rPr>
            </w:pPr>
            <w:r w:rsidRPr="00A34488">
              <w:rPr>
                <w:b/>
                <w:bCs/>
              </w:rPr>
              <w:t>Contact</w:t>
            </w:r>
          </w:p>
        </w:tc>
        <w:tc>
          <w:tcPr>
            <w:tcW w:w="6010" w:type="dxa"/>
            <w:tcBorders>
              <w:bottom w:val="single" w:sz="6" w:space="0" w:color="E6E6E6"/>
            </w:tcBorders>
            <w:shd w:val="clear" w:color="auto" w:fill="FFFFFF"/>
          </w:tcPr>
          <w:p w14:paraId="40599C23" w14:textId="34407706" w:rsidR="008F77D3" w:rsidRPr="00A34488" w:rsidRDefault="00C2765B" w:rsidP="000A49BA">
            <w:pPr>
              <w:rPr>
                <w:sz w:val="18"/>
                <w:szCs w:val="18"/>
              </w:rPr>
            </w:pPr>
            <w:r>
              <w:rPr>
                <w:sz w:val="18"/>
                <w:szCs w:val="18"/>
              </w:rPr>
              <w:t xml:space="preserve">Emeritus Professor Nick Reid and </w:t>
            </w:r>
            <w:r w:rsidR="00493C03" w:rsidRPr="00493C03">
              <w:rPr>
                <w:sz w:val="18"/>
                <w:szCs w:val="18"/>
              </w:rPr>
              <w:t>Dr Ross Jenkins, University of New England Environment and Rural Science school.</w:t>
            </w:r>
          </w:p>
        </w:tc>
      </w:tr>
      <w:tr w:rsidR="003F299A" w:rsidRPr="00A34488" w14:paraId="77F509B0" w14:textId="77777777" w:rsidTr="000A49BA">
        <w:tc>
          <w:tcPr>
            <w:tcW w:w="0" w:type="auto"/>
            <w:tcBorders>
              <w:bottom w:val="single" w:sz="6" w:space="0" w:color="E6E6E6"/>
            </w:tcBorders>
            <w:shd w:val="clear" w:color="auto" w:fill="FFFFFF"/>
            <w:hideMark/>
          </w:tcPr>
          <w:p w14:paraId="3416DE63" w14:textId="77777777" w:rsidR="003F299A" w:rsidRPr="00A34488" w:rsidRDefault="003F299A" w:rsidP="000A49BA">
            <w:pPr>
              <w:rPr>
                <w:b/>
                <w:bCs/>
              </w:rPr>
            </w:pPr>
            <w:r w:rsidRPr="00A34488">
              <w:rPr>
                <w:b/>
                <w:bCs/>
              </w:rPr>
              <w:t>Purpose</w:t>
            </w:r>
          </w:p>
        </w:tc>
        <w:tc>
          <w:tcPr>
            <w:tcW w:w="6010" w:type="dxa"/>
            <w:tcBorders>
              <w:bottom w:val="single" w:sz="6" w:space="0" w:color="E6E6E6"/>
            </w:tcBorders>
            <w:shd w:val="clear" w:color="auto" w:fill="FFFFFF"/>
            <w:hideMark/>
          </w:tcPr>
          <w:p w14:paraId="6C5E47CA" w14:textId="4BE37988" w:rsidR="003F299A" w:rsidRPr="00A34488" w:rsidRDefault="004459BC" w:rsidP="000A49BA">
            <w:pPr>
              <w:rPr>
                <w:sz w:val="18"/>
                <w:szCs w:val="18"/>
              </w:rPr>
            </w:pPr>
            <w:r>
              <w:rPr>
                <w:sz w:val="18"/>
                <w:szCs w:val="18"/>
              </w:rPr>
              <w:t>The dataset was created as part fulfillment for the NRC project ‘</w:t>
            </w:r>
            <w:r w:rsidRPr="00437367">
              <w:rPr>
                <w:sz w:val="18"/>
                <w:szCs w:val="18"/>
              </w:rPr>
              <w:t>NSW Forest Monitoring and Improvement Program</w:t>
            </w:r>
            <w:r>
              <w:rPr>
                <w:sz w:val="18"/>
                <w:szCs w:val="18"/>
              </w:rPr>
              <w:t xml:space="preserve">: </w:t>
            </w:r>
            <w:r w:rsidRPr="00437367">
              <w:rPr>
                <w:sz w:val="18"/>
                <w:szCs w:val="18"/>
              </w:rPr>
              <w:t>Final Report</w:t>
            </w:r>
            <w:r>
              <w:rPr>
                <w:sz w:val="18"/>
                <w:szCs w:val="18"/>
              </w:rPr>
              <w:t xml:space="preserve">. </w:t>
            </w:r>
            <w:r w:rsidRPr="00437367">
              <w:rPr>
                <w:sz w:val="18"/>
                <w:szCs w:val="18"/>
              </w:rPr>
              <w:t>Project 2: Baselines, drivers and trends for species occupancy and</w:t>
            </w:r>
            <w:r>
              <w:rPr>
                <w:sz w:val="18"/>
                <w:szCs w:val="18"/>
              </w:rPr>
              <w:t xml:space="preserve"> </w:t>
            </w:r>
            <w:r w:rsidRPr="00437367">
              <w:rPr>
                <w:sz w:val="18"/>
                <w:szCs w:val="18"/>
              </w:rPr>
              <w:t>distribution</w:t>
            </w:r>
            <w:r>
              <w:rPr>
                <w:sz w:val="18"/>
                <w:szCs w:val="18"/>
              </w:rPr>
              <w:t>.’</w:t>
            </w:r>
          </w:p>
        </w:tc>
      </w:tr>
      <w:tr w:rsidR="003F299A" w:rsidRPr="00A34488" w14:paraId="156A35A4" w14:textId="77777777" w:rsidTr="000A49BA">
        <w:tc>
          <w:tcPr>
            <w:tcW w:w="0" w:type="auto"/>
            <w:tcBorders>
              <w:bottom w:val="single" w:sz="6" w:space="0" w:color="E6E6E6"/>
            </w:tcBorders>
            <w:shd w:val="clear" w:color="auto" w:fill="FFFFFF"/>
            <w:hideMark/>
          </w:tcPr>
          <w:p w14:paraId="0E81A824" w14:textId="77777777" w:rsidR="003F299A" w:rsidRPr="00A34488" w:rsidRDefault="003F299A" w:rsidP="000A49BA">
            <w:pPr>
              <w:rPr>
                <w:b/>
                <w:bCs/>
              </w:rPr>
            </w:pPr>
            <w:r w:rsidRPr="00A34488">
              <w:rPr>
                <w:b/>
                <w:bCs/>
              </w:rPr>
              <w:t>Jurisdictions</w:t>
            </w:r>
          </w:p>
        </w:tc>
        <w:tc>
          <w:tcPr>
            <w:tcW w:w="6010" w:type="dxa"/>
            <w:tcBorders>
              <w:bottom w:val="single" w:sz="6" w:space="0" w:color="E6E6E6"/>
            </w:tcBorders>
            <w:shd w:val="clear" w:color="auto" w:fill="FFFFFF"/>
            <w:hideMark/>
          </w:tcPr>
          <w:p w14:paraId="1F1C22A7" w14:textId="3467DD3B" w:rsidR="003F299A" w:rsidRPr="00A34488" w:rsidRDefault="00C2765B" w:rsidP="000A49BA">
            <w:pPr>
              <w:rPr>
                <w:sz w:val="18"/>
                <w:szCs w:val="18"/>
              </w:rPr>
            </w:pPr>
            <w:r>
              <w:rPr>
                <w:sz w:val="18"/>
                <w:szCs w:val="18"/>
              </w:rPr>
              <w:t>T</w:t>
            </w:r>
            <w:r w:rsidR="004459BC">
              <w:rPr>
                <w:sz w:val="18"/>
                <w:szCs w:val="18"/>
              </w:rPr>
              <w:t>he University of New England</w:t>
            </w:r>
          </w:p>
        </w:tc>
      </w:tr>
      <w:tr w:rsidR="004459BC" w:rsidRPr="00A34488" w14:paraId="39BB92F6" w14:textId="77777777" w:rsidTr="000A49BA">
        <w:tc>
          <w:tcPr>
            <w:tcW w:w="0" w:type="auto"/>
            <w:tcBorders>
              <w:bottom w:val="single" w:sz="6" w:space="0" w:color="E6E6E6"/>
            </w:tcBorders>
            <w:shd w:val="clear" w:color="auto" w:fill="FFFFFF"/>
            <w:hideMark/>
          </w:tcPr>
          <w:p w14:paraId="2698874E" w14:textId="77777777" w:rsidR="004459BC" w:rsidRPr="00A34488" w:rsidRDefault="004459BC" w:rsidP="004459BC">
            <w:pPr>
              <w:rPr>
                <w:b/>
                <w:bCs/>
              </w:rPr>
            </w:pPr>
            <w:r w:rsidRPr="00A34488">
              <w:rPr>
                <w:b/>
                <w:bCs/>
              </w:rPr>
              <w:t>Geographic Bounding Box</w:t>
            </w:r>
          </w:p>
        </w:tc>
        <w:tc>
          <w:tcPr>
            <w:tcW w:w="6010" w:type="dxa"/>
            <w:tcBorders>
              <w:bottom w:val="single" w:sz="6" w:space="0" w:color="E6E6E6"/>
            </w:tcBorders>
            <w:shd w:val="clear" w:color="auto" w:fill="FFFFFF"/>
            <w:hideMark/>
          </w:tcPr>
          <w:p w14:paraId="448B940D" w14:textId="60419BA2" w:rsidR="004459BC" w:rsidRPr="00A34488" w:rsidRDefault="004459BC" w:rsidP="004459BC">
            <w:pPr>
              <w:rPr>
                <w:sz w:val="18"/>
                <w:szCs w:val="18"/>
              </w:rPr>
            </w:pPr>
            <w:r>
              <w:rPr>
                <w:sz w:val="18"/>
                <w:szCs w:val="18"/>
              </w:rPr>
              <w:t>North -28 degrees; South -37.5 degrees; West 147 degrees; East 153.5 degrees</w:t>
            </w:r>
          </w:p>
        </w:tc>
      </w:tr>
      <w:tr w:rsidR="004459BC" w:rsidRPr="00A34488" w14:paraId="500194FA" w14:textId="77777777" w:rsidTr="000A49BA">
        <w:tc>
          <w:tcPr>
            <w:tcW w:w="0" w:type="auto"/>
            <w:tcBorders>
              <w:bottom w:val="single" w:sz="6" w:space="0" w:color="E6E6E6"/>
            </w:tcBorders>
            <w:shd w:val="clear" w:color="auto" w:fill="FFFFFF"/>
            <w:hideMark/>
          </w:tcPr>
          <w:p w14:paraId="6C01B1D8" w14:textId="77777777" w:rsidR="004459BC" w:rsidRPr="00A34488" w:rsidRDefault="004459BC" w:rsidP="004459BC">
            <w:pPr>
              <w:rPr>
                <w:b/>
                <w:bCs/>
              </w:rPr>
            </w:pPr>
            <w:r w:rsidRPr="00A34488">
              <w:rPr>
                <w:b/>
                <w:bCs/>
              </w:rPr>
              <w:t>Lineage</w:t>
            </w:r>
          </w:p>
        </w:tc>
        <w:tc>
          <w:tcPr>
            <w:tcW w:w="6010" w:type="dxa"/>
            <w:tcBorders>
              <w:bottom w:val="single" w:sz="6" w:space="0" w:color="E6E6E6"/>
            </w:tcBorders>
            <w:shd w:val="clear" w:color="auto" w:fill="FFFFFF"/>
            <w:hideMark/>
          </w:tcPr>
          <w:p w14:paraId="1D8F13E0" w14:textId="269C582A" w:rsidR="00612033" w:rsidRDefault="004459BC" w:rsidP="004459BC">
            <w:pPr>
              <w:rPr>
                <w:sz w:val="18"/>
                <w:szCs w:val="18"/>
              </w:rPr>
            </w:pPr>
            <w:r>
              <w:rPr>
                <w:sz w:val="18"/>
                <w:szCs w:val="18"/>
              </w:rPr>
              <w:t xml:space="preserve">Species occurrence data was sourced from </w:t>
            </w:r>
            <w:r w:rsidR="00C2765B">
              <w:rPr>
                <w:rFonts w:ascii="Segoe UI" w:hAnsi="Segoe UI" w:cs="Segoe UI"/>
                <w:sz w:val="18"/>
                <w:szCs w:val="18"/>
              </w:rPr>
              <w:t>Bionet, based on systematic NPWS surveys conducted ~</w:t>
            </w:r>
            <w:r w:rsidR="00906337">
              <w:rPr>
                <w:rFonts w:ascii="Segoe UI" w:hAnsi="Segoe UI" w:cs="Segoe UI"/>
                <w:sz w:val="18"/>
                <w:szCs w:val="18"/>
              </w:rPr>
              <w:t>1989-2000</w:t>
            </w:r>
            <w:r w:rsidR="00C2765B">
              <w:rPr>
                <w:rFonts w:ascii="Segoe UI" w:hAnsi="Segoe UI" w:cs="Segoe UI"/>
                <w:sz w:val="18"/>
                <w:szCs w:val="18"/>
              </w:rPr>
              <w:t xml:space="preserve"> [cf. </w:t>
            </w:r>
            <w:r w:rsidR="00C2765B" w:rsidRPr="00C2765B">
              <w:rPr>
                <w:rFonts w:ascii="Segoe UI" w:hAnsi="Segoe UI" w:cs="Segoe UI"/>
                <w:color w:val="000000"/>
                <w:sz w:val="18"/>
                <w:szCs w:val="18"/>
              </w:rPr>
              <w:t xml:space="preserve">NPWS </w:t>
            </w:r>
            <w:r w:rsidR="00C2765B">
              <w:rPr>
                <w:rFonts w:ascii="Segoe UI" w:hAnsi="Segoe UI" w:cs="Segoe UI"/>
                <w:sz w:val="18"/>
                <w:szCs w:val="18"/>
              </w:rPr>
              <w:t xml:space="preserve">(1994). Fauna of north-east NSW forests. (NSW National Parks and Wildlife Service]. </w:t>
            </w:r>
            <w:r>
              <w:rPr>
                <w:sz w:val="18"/>
                <w:szCs w:val="18"/>
              </w:rPr>
              <w:t xml:space="preserve">Additional occurrence data </w:t>
            </w:r>
            <w:r w:rsidR="00906337">
              <w:rPr>
                <w:sz w:val="18"/>
                <w:szCs w:val="18"/>
              </w:rPr>
              <w:t>from 1991-1998</w:t>
            </w:r>
            <w:r>
              <w:rPr>
                <w:sz w:val="18"/>
                <w:szCs w:val="18"/>
              </w:rPr>
              <w:t xml:space="preserve"> and </w:t>
            </w:r>
            <w:r w:rsidR="00906337">
              <w:rPr>
                <w:sz w:val="18"/>
                <w:szCs w:val="18"/>
              </w:rPr>
              <w:t xml:space="preserve">equivalent </w:t>
            </w:r>
            <w:r>
              <w:rPr>
                <w:sz w:val="18"/>
                <w:szCs w:val="18"/>
              </w:rPr>
              <w:t xml:space="preserve">spatial extent was extracted from the Atlas of </w:t>
            </w:r>
            <w:r w:rsidR="00C2765B">
              <w:rPr>
                <w:sz w:val="18"/>
                <w:szCs w:val="18"/>
              </w:rPr>
              <w:t>L</w:t>
            </w:r>
            <w:r>
              <w:rPr>
                <w:sz w:val="18"/>
                <w:szCs w:val="18"/>
              </w:rPr>
              <w:t xml:space="preserve">iving Australia. </w:t>
            </w:r>
          </w:p>
          <w:p w14:paraId="03D73900" w14:textId="77777777" w:rsidR="00B5087D" w:rsidRDefault="00B5087D" w:rsidP="00B5087D">
            <w:pPr>
              <w:rPr>
                <w:sz w:val="18"/>
                <w:szCs w:val="18"/>
              </w:rPr>
            </w:pPr>
            <w:r>
              <w:rPr>
                <w:sz w:val="18"/>
                <w:szCs w:val="18"/>
              </w:rPr>
              <w:t>NARCliM variables (GCM MIROC3.1; RCM R1 provided by the</w:t>
            </w:r>
            <w:r>
              <w:t xml:space="preserve"> </w:t>
            </w:r>
            <w:r w:rsidRPr="00B5087D">
              <w:rPr>
                <w:sz w:val="18"/>
                <w:szCs w:val="18"/>
              </w:rPr>
              <w:t>Science, Economics and Insights Division</w:t>
            </w:r>
            <w:r>
              <w:rPr>
                <w:sz w:val="18"/>
                <w:szCs w:val="18"/>
              </w:rPr>
              <w:t xml:space="preserve"> of DPIE NSW) along with relevant topographic layers from the </w:t>
            </w:r>
            <w:r w:rsidRPr="007E122E">
              <w:rPr>
                <w:sz w:val="18"/>
                <w:szCs w:val="18"/>
              </w:rPr>
              <w:t>State Vegetation Type Map (SVTM) Modelling Grid Collection</w:t>
            </w:r>
            <w:r>
              <w:rPr>
                <w:sz w:val="18"/>
                <w:szCs w:val="18"/>
              </w:rPr>
              <w:t xml:space="preserve"> (</w:t>
            </w:r>
            <w:hyperlink r:id="rId9" w:history="1">
              <w:r w:rsidRPr="00CF581E">
                <w:rPr>
                  <w:rStyle w:val="Hyperlink"/>
                  <w:sz w:val="18"/>
                  <w:szCs w:val="18"/>
                </w:rPr>
                <w:t>https://datasets.seed.nsw.gov.au/dataset/svtm-modelling-grid-collection</w:t>
              </w:r>
            </w:hyperlink>
            <w:r>
              <w:rPr>
                <w:sz w:val="18"/>
                <w:szCs w:val="18"/>
              </w:rPr>
              <w:t>) as described in the NRC publication ‘</w:t>
            </w:r>
            <w:r w:rsidRPr="00437367">
              <w:rPr>
                <w:sz w:val="18"/>
                <w:szCs w:val="18"/>
              </w:rPr>
              <w:t>NSW Forest Monitoring and Improvement Program</w:t>
            </w:r>
            <w:r>
              <w:rPr>
                <w:sz w:val="18"/>
                <w:szCs w:val="18"/>
              </w:rPr>
              <w:t xml:space="preserve">: </w:t>
            </w:r>
            <w:r w:rsidRPr="00437367">
              <w:rPr>
                <w:sz w:val="18"/>
                <w:szCs w:val="18"/>
              </w:rPr>
              <w:t>Final Report</w:t>
            </w:r>
            <w:r>
              <w:rPr>
                <w:sz w:val="18"/>
                <w:szCs w:val="18"/>
              </w:rPr>
              <w:t xml:space="preserve">. </w:t>
            </w:r>
            <w:r w:rsidRPr="00437367">
              <w:rPr>
                <w:sz w:val="18"/>
                <w:szCs w:val="18"/>
              </w:rPr>
              <w:t>Project 2: Baselines, drivers and trends for species occupancy and</w:t>
            </w:r>
            <w:r>
              <w:rPr>
                <w:sz w:val="18"/>
                <w:szCs w:val="18"/>
              </w:rPr>
              <w:t xml:space="preserve"> </w:t>
            </w:r>
            <w:r w:rsidRPr="00437367">
              <w:rPr>
                <w:sz w:val="18"/>
                <w:szCs w:val="18"/>
              </w:rPr>
              <w:t>distribution</w:t>
            </w:r>
            <w:r>
              <w:rPr>
                <w:sz w:val="18"/>
                <w:szCs w:val="18"/>
              </w:rPr>
              <w:t>.</w:t>
            </w:r>
          </w:p>
          <w:p w14:paraId="18109A71" w14:textId="0619A566" w:rsidR="004459BC" w:rsidRPr="00A34488" w:rsidRDefault="004459BC" w:rsidP="004459BC">
            <w:pPr>
              <w:rPr>
                <w:sz w:val="18"/>
                <w:szCs w:val="18"/>
              </w:rPr>
            </w:pPr>
            <w:r>
              <w:rPr>
                <w:sz w:val="18"/>
                <w:szCs w:val="18"/>
              </w:rPr>
              <w:t xml:space="preserve">Model outputs (statistical analyses and predictive surfaces) were generated </w:t>
            </w:r>
            <w:r w:rsidR="00C2765B">
              <w:rPr>
                <w:sz w:val="18"/>
                <w:szCs w:val="18"/>
              </w:rPr>
              <w:t>using the software developed by Steven Phillips (</w:t>
            </w:r>
            <w:hyperlink r:id="rId10" w:history="1">
              <w:r w:rsidR="00C2765B" w:rsidRPr="00CF581E">
                <w:rPr>
                  <w:rStyle w:val="Hyperlink"/>
                  <w:sz w:val="18"/>
                  <w:szCs w:val="18"/>
                </w:rPr>
                <w:t>https://biodiversityinformatics.amnh.org/open_source/maxent/</w:t>
              </w:r>
            </w:hyperlink>
          </w:p>
        </w:tc>
      </w:tr>
      <w:tr w:rsidR="004459BC" w:rsidRPr="00A34488" w14:paraId="754D7B73" w14:textId="77777777" w:rsidTr="004459BC">
        <w:tc>
          <w:tcPr>
            <w:tcW w:w="0" w:type="auto"/>
            <w:tcBorders>
              <w:bottom w:val="single" w:sz="6" w:space="0" w:color="E6E6E6"/>
            </w:tcBorders>
            <w:shd w:val="clear" w:color="auto" w:fill="FFFFFF"/>
            <w:hideMark/>
          </w:tcPr>
          <w:p w14:paraId="67BD0FF0" w14:textId="77777777" w:rsidR="004459BC" w:rsidRPr="00A34488" w:rsidRDefault="004459BC" w:rsidP="004459BC">
            <w:pPr>
              <w:rPr>
                <w:b/>
                <w:bCs/>
              </w:rPr>
            </w:pPr>
            <w:r w:rsidRPr="00A34488">
              <w:rPr>
                <w:b/>
                <w:bCs/>
              </w:rPr>
              <w:lastRenderedPageBreak/>
              <w:t>Extent</w:t>
            </w:r>
          </w:p>
        </w:tc>
        <w:tc>
          <w:tcPr>
            <w:tcW w:w="6010" w:type="dxa"/>
            <w:tcBorders>
              <w:bottom w:val="single" w:sz="6" w:space="0" w:color="E6E6E6"/>
            </w:tcBorders>
            <w:shd w:val="clear" w:color="auto" w:fill="FFFFFF"/>
          </w:tcPr>
          <w:p w14:paraId="5B195136" w14:textId="43BACD3E" w:rsidR="004459BC" w:rsidRPr="00A34488" w:rsidRDefault="00906337" w:rsidP="004459BC">
            <w:pPr>
              <w:rPr>
                <w:sz w:val="18"/>
                <w:szCs w:val="18"/>
              </w:rPr>
            </w:pPr>
            <w:r>
              <w:rPr>
                <w:sz w:val="18"/>
                <w:szCs w:val="18"/>
              </w:rPr>
              <w:t>The temporal extent of the species occurrence was limited to 1989-2000 for systematic data, and 1991</w:t>
            </w:r>
            <w:r>
              <w:rPr>
                <w:sz w:val="18"/>
                <w:szCs w:val="18"/>
              </w:rPr>
              <w:t>-</w:t>
            </w:r>
            <w:r>
              <w:rPr>
                <w:sz w:val="18"/>
                <w:szCs w:val="18"/>
              </w:rPr>
              <w:t>1998 for ALA data</w:t>
            </w:r>
          </w:p>
        </w:tc>
      </w:tr>
      <w:tr w:rsidR="004459BC" w:rsidRPr="00A34488" w14:paraId="654A9A3A" w14:textId="77777777" w:rsidTr="000A49BA">
        <w:tc>
          <w:tcPr>
            <w:tcW w:w="0" w:type="auto"/>
            <w:tcBorders>
              <w:bottom w:val="single" w:sz="6" w:space="0" w:color="E6E6E6"/>
            </w:tcBorders>
            <w:shd w:val="clear" w:color="auto" w:fill="FFFFFF"/>
            <w:hideMark/>
          </w:tcPr>
          <w:p w14:paraId="3885EE21" w14:textId="77777777" w:rsidR="004459BC" w:rsidRPr="00A34488" w:rsidRDefault="004459BC" w:rsidP="004459BC">
            <w:pPr>
              <w:rPr>
                <w:b/>
                <w:bCs/>
              </w:rPr>
            </w:pPr>
            <w:r w:rsidRPr="00A34488">
              <w:rPr>
                <w:b/>
                <w:bCs/>
              </w:rPr>
              <w:t>Distribution Format</w:t>
            </w:r>
          </w:p>
        </w:tc>
        <w:tc>
          <w:tcPr>
            <w:tcW w:w="6010" w:type="dxa"/>
            <w:tcBorders>
              <w:bottom w:val="single" w:sz="6" w:space="0" w:color="E6E6E6"/>
            </w:tcBorders>
            <w:shd w:val="clear" w:color="auto" w:fill="FFFFFF"/>
            <w:hideMark/>
          </w:tcPr>
          <w:p w14:paraId="050D2B81" w14:textId="71137417" w:rsidR="004459BC" w:rsidRPr="00A34488" w:rsidRDefault="004459BC" w:rsidP="004459BC">
            <w:pPr>
              <w:rPr>
                <w:sz w:val="18"/>
                <w:szCs w:val="18"/>
              </w:rPr>
            </w:pPr>
            <w:r>
              <w:rPr>
                <w:sz w:val="18"/>
                <w:szCs w:val="18"/>
              </w:rPr>
              <w:t>Raster (ESRI Geodatabase)</w:t>
            </w:r>
          </w:p>
        </w:tc>
      </w:tr>
      <w:tr w:rsidR="004459BC" w:rsidRPr="00A34488" w14:paraId="62E8A4F7" w14:textId="77777777" w:rsidTr="000A49BA">
        <w:tc>
          <w:tcPr>
            <w:tcW w:w="0" w:type="auto"/>
            <w:tcBorders>
              <w:bottom w:val="single" w:sz="6" w:space="0" w:color="E6E6E6"/>
            </w:tcBorders>
            <w:shd w:val="clear" w:color="auto" w:fill="FFFFFF"/>
            <w:hideMark/>
          </w:tcPr>
          <w:p w14:paraId="7A0B7CE8" w14:textId="77777777" w:rsidR="004459BC" w:rsidRPr="00A34488" w:rsidRDefault="004459BC" w:rsidP="004459BC">
            <w:pPr>
              <w:rPr>
                <w:b/>
                <w:bCs/>
              </w:rPr>
            </w:pPr>
            <w:r w:rsidRPr="00A34488">
              <w:rPr>
                <w:b/>
                <w:bCs/>
              </w:rPr>
              <w:t>Keyword</w:t>
            </w:r>
          </w:p>
        </w:tc>
        <w:tc>
          <w:tcPr>
            <w:tcW w:w="6010" w:type="dxa"/>
            <w:tcBorders>
              <w:bottom w:val="single" w:sz="6" w:space="0" w:color="E6E6E6"/>
            </w:tcBorders>
            <w:shd w:val="clear" w:color="auto" w:fill="FFFFFF"/>
            <w:hideMark/>
          </w:tcPr>
          <w:p w14:paraId="25C3C851" w14:textId="758C2E0A" w:rsidR="004459BC" w:rsidRPr="00A34488" w:rsidRDefault="00612033" w:rsidP="004459BC">
            <w:pPr>
              <w:rPr>
                <w:sz w:val="18"/>
                <w:szCs w:val="18"/>
              </w:rPr>
            </w:pPr>
            <w:r>
              <w:rPr>
                <w:sz w:val="18"/>
                <w:szCs w:val="18"/>
              </w:rPr>
              <w:t xml:space="preserve">NARCliM, </w:t>
            </w:r>
            <w:r w:rsidR="004459BC">
              <w:rPr>
                <w:sz w:val="18"/>
                <w:szCs w:val="18"/>
              </w:rPr>
              <w:t>F</w:t>
            </w:r>
            <w:r>
              <w:rPr>
                <w:sz w:val="18"/>
                <w:szCs w:val="18"/>
              </w:rPr>
              <w:t>lora</w:t>
            </w:r>
            <w:r w:rsidR="004459BC">
              <w:rPr>
                <w:sz w:val="18"/>
                <w:szCs w:val="18"/>
              </w:rPr>
              <w:t>, RFA, Maxent modelling</w:t>
            </w:r>
          </w:p>
        </w:tc>
      </w:tr>
      <w:tr w:rsidR="004459BC" w:rsidRPr="00A34488" w14:paraId="5FB0551E" w14:textId="77777777" w:rsidTr="000A49BA">
        <w:tc>
          <w:tcPr>
            <w:tcW w:w="0" w:type="auto"/>
            <w:tcBorders>
              <w:bottom w:val="single" w:sz="6" w:space="0" w:color="E6E6E6"/>
            </w:tcBorders>
            <w:shd w:val="clear" w:color="auto" w:fill="FFFFFF"/>
            <w:hideMark/>
          </w:tcPr>
          <w:p w14:paraId="120D73E5" w14:textId="77777777" w:rsidR="004459BC" w:rsidRPr="00A34488" w:rsidRDefault="004459BC" w:rsidP="004459BC">
            <w:pPr>
              <w:rPr>
                <w:b/>
                <w:bCs/>
              </w:rPr>
            </w:pPr>
            <w:r w:rsidRPr="00A34488">
              <w:rPr>
                <w:b/>
                <w:bCs/>
              </w:rPr>
              <w:t>Maintenance and Update Frequency</w:t>
            </w:r>
          </w:p>
        </w:tc>
        <w:tc>
          <w:tcPr>
            <w:tcW w:w="6010" w:type="dxa"/>
            <w:tcBorders>
              <w:bottom w:val="single" w:sz="6" w:space="0" w:color="E6E6E6"/>
            </w:tcBorders>
            <w:shd w:val="clear" w:color="auto" w:fill="FFFFFF"/>
            <w:hideMark/>
          </w:tcPr>
          <w:p w14:paraId="2923DBB4" w14:textId="7268497C" w:rsidR="004459BC" w:rsidRPr="00A34488" w:rsidRDefault="004459BC" w:rsidP="004459BC">
            <w:pPr>
              <w:rPr>
                <w:sz w:val="18"/>
                <w:szCs w:val="18"/>
              </w:rPr>
            </w:pPr>
            <w:r>
              <w:rPr>
                <w:sz w:val="18"/>
                <w:szCs w:val="18"/>
              </w:rPr>
              <w:t>Not planned</w:t>
            </w:r>
          </w:p>
        </w:tc>
      </w:tr>
      <w:tr w:rsidR="004459BC" w:rsidRPr="00A34488" w14:paraId="7AD36B44" w14:textId="77777777" w:rsidTr="000A49BA">
        <w:tc>
          <w:tcPr>
            <w:tcW w:w="0" w:type="auto"/>
            <w:tcBorders>
              <w:bottom w:val="single" w:sz="6" w:space="0" w:color="E6E6E6"/>
            </w:tcBorders>
            <w:shd w:val="clear" w:color="auto" w:fill="FFFFFF"/>
            <w:hideMark/>
          </w:tcPr>
          <w:p w14:paraId="0ABE39BE" w14:textId="77777777" w:rsidR="004459BC" w:rsidRPr="00A34488" w:rsidRDefault="004459BC" w:rsidP="004459BC">
            <w:pPr>
              <w:rPr>
                <w:b/>
                <w:bCs/>
              </w:rPr>
            </w:pPr>
            <w:r w:rsidRPr="00A34488">
              <w:rPr>
                <w:b/>
                <w:bCs/>
              </w:rPr>
              <w:t>Use Limitation</w:t>
            </w:r>
          </w:p>
        </w:tc>
        <w:tc>
          <w:tcPr>
            <w:tcW w:w="6010" w:type="dxa"/>
            <w:tcBorders>
              <w:bottom w:val="single" w:sz="6" w:space="0" w:color="E6E6E6"/>
            </w:tcBorders>
            <w:shd w:val="clear" w:color="auto" w:fill="FFFFFF"/>
            <w:hideMark/>
          </w:tcPr>
          <w:p w14:paraId="3EB9D955" w14:textId="6E458536" w:rsidR="004459BC" w:rsidRPr="00A34488" w:rsidRDefault="004459BC" w:rsidP="004459BC">
            <w:pPr>
              <w:rPr>
                <w:sz w:val="18"/>
                <w:szCs w:val="18"/>
              </w:rPr>
            </w:pPr>
            <w:r>
              <w:rPr>
                <w:sz w:val="18"/>
                <w:szCs w:val="18"/>
              </w:rPr>
              <w:t>Maxent generates probabilistic species predictive habitat surfaces, and does not imply species presence at any particular location. Modelling is restricted to the eastern NSW RFA areas.</w:t>
            </w:r>
          </w:p>
        </w:tc>
      </w:tr>
      <w:tr w:rsidR="004459BC" w:rsidRPr="00A34488" w14:paraId="3D5434FA" w14:textId="77777777" w:rsidTr="000A49BA">
        <w:tc>
          <w:tcPr>
            <w:tcW w:w="0" w:type="auto"/>
            <w:tcBorders>
              <w:bottom w:val="single" w:sz="6" w:space="0" w:color="E6E6E6"/>
            </w:tcBorders>
            <w:shd w:val="clear" w:color="auto" w:fill="FFFFFF"/>
            <w:hideMark/>
          </w:tcPr>
          <w:p w14:paraId="1BC7044B" w14:textId="77777777" w:rsidR="004459BC" w:rsidRPr="00A34488" w:rsidRDefault="004459BC" w:rsidP="004459BC">
            <w:pPr>
              <w:rPr>
                <w:b/>
                <w:bCs/>
              </w:rPr>
            </w:pPr>
            <w:r w:rsidRPr="00A34488">
              <w:rPr>
                <w:b/>
                <w:bCs/>
              </w:rPr>
              <w:t>Resolution</w:t>
            </w:r>
          </w:p>
        </w:tc>
        <w:tc>
          <w:tcPr>
            <w:tcW w:w="6010" w:type="dxa"/>
            <w:tcBorders>
              <w:bottom w:val="single" w:sz="6" w:space="0" w:color="E6E6E6"/>
            </w:tcBorders>
            <w:shd w:val="clear" w:color="auto" w:fill="FFFFFF"/>
            <w:hideMark/>
          </w:tcPr>
          <w:p w14:paraId="3CFC7D00" w14:textId="43D428C7" w:rsidR="004459BC" w:rsidRPr="00A34488" w:rsidRDefault="00612033" w:rsidP="004459BC">
            <w:pPr>
              <w:rPr>
                <w:sz w:val="18"/>
                <w:szCs w:val="18"/>
              </w:rPr>
            </w:pPr>
            <w:r>
              <w:rPr>
                <w:sz w:val="18"/>
                <w:szCs w:val="18"/>
              </w:rPr>
              <w:t>250</w:t>
            </w:r>
            <w:r w:rsidR="004459BC">
              <w:rPr>
                <w:sz w:val="18"/>
                <w:szCs w:val="18"/>
              </w:rPr>
              <w:t xml:space="preserve"> m</w:t>
            </w:r>
          </w:p>
        </w:tc>
      </w:tr>
      <w:tr w:rsidR="004459BC" w:rsidRPr="00A34488" w14:paraId="26198C4A" w14:textId="77777777" w:rsidTr="000A49BA">
        <w:tc>
          <w:tcPr>
            <w:tcW w:w="0" w:type="auto"/>
            <w:tcBorders>
              <w:bottom w:val="single" w:sz="6" w:space="0" w:color="E6E6E6"/>
            </w:tcBorders>
            <w:shd w:val="clear" w:color="auto" w:fill="FFFFFF"/>
            <w:hideMark/>
          </w:tcPr>
          <w:p w14:paraId="62813BB3" w14:textId="77777777" w:rsidR="004459BC" w:rsidRPr="00A34488" w:rsidRDefault="004459BC" w:rsidP="004459BC">
            <w:pPr>
              <w:rPr>
                <w:b/>
                <w:bCs/>
              </w:rPr>
            </w:pPr>
            <w:r w:rsidRPr="00A34488">
              <w:rPr>
                <w:b/>
                <w:bCs/>
              </w:rPr>
              <w:t>DQ Completeness</w:t>
            </w:r>
          </w:p>
        </w:tc>
        <w:tc>
          <w:tcPr>
            <w:tcW w:w="6010" w:type="dxa"/>
            <w:tcBorders>
              <w:bottom w:val="single" w:sz="6" w:space="0" w:color="E6E6E6"/>
            </w:tcBorders>
            <w:shd w:val="clear" w:color="auto" w:fill="FFFFFF"/>
            <w:hideMark/>
          </w:tcPr>
          <w:p w14:paraId="12DC3CEA" w14:textId="260CE45F" w:rsidR="004459BC" w:rsidRPr="00A34488" w:rsidRDefault="004459BC" w:rsidP="004459BC">
            <w:pPr>
              <w:rPr>
                <w:sz w:val="18"/>
                <w:szCs w:val="18"/>
              </w:rPr>
            </w:pPr>
            <w:r>
              <w:rPr>
                <w:sz w:val="18"/>
                <w:szCs w:val="18"/>
              </w:rPr>
              <w:t>Complete</w:t>
            </w:r>
          </w:p>
        </w:tc>
      </w:tr>
      <w:tr w:rsidR="004459BC" w:rsidRPr="00A34488" w14:paraId="3B1062AB" w14:textId="77777777" w:rsidTr="000A49BA">
        <w:tc>
          <w:tcPr>
            <w:tcW w:w="0" w:type="auto"/>
            <w:tcBorders>
              <w:bottom w:val="single" w:sz="6" w:space="0" w:color="E6E6E6"/>
            </w:tcBorders>
            <w:shd w:val="clear" w:color="auto" w:fill="FFFFFF"/>
            <w:hideMark/>
          </w:tcPr>
          <w:p w14:paraId="3D27BDF6" w14:textId="77777777" w:rsidR="004459BC" w:rsidRPr="00A34488" w:rsidRDefault="004459BC" w:rsidP="004459BC">
            <w:pPr>
              <w:rPr>
                <w:b/>
                <w:bCs/>
              </w:rPr>
            </w:pPr>
            <w:r w:rsidRPr="00A34488">
              <w:rPr>
                <w:b/>
                <w:bCs/>
              </w:rPr>
              <w:t>Reference System</w:t>
            </w:r>
          </w:p>
        </w:tc>
        <w:tc>
          <w:tcPr>
            <w:tcW w:w="6010" w:type="dxa"/>
            <w:tcBorders>
              <w:bottom w:val="single" w:sz="6" w:space="0" w:color="E6E6E6"/>
            </w:tcBorders>
            <w:shd w:val="clear" w:color="auto" w:fill="FFFFFF"/>
            <w:hideMark/>
          </w:tcPr>
          <w:p w14:paraId="38AF605B" w14:textId="33678DE2" w:rsidR="004459BC" w:rsidRPr="00A34488" w:rsidRDefault="004459BC" w:rsidP="004459BC">
            <w:pPr>
              <w:rPr>
                <w:sz w:val="18"/>
                <w:szCs w:val="18"/>
              </w:rPr>
            </w:pPr>
            <w:r>
              <w:rPr>
                <w:sz w:val="18"/>
                <w:szCs w:val="18"/>
              </w:rPr>
              <w:t>GDA94</w:t>
            </w:r>
          </w:p>
        </w:tc>
      </w:tr>
      <w:tr w:rsidR="004459BC" w:rsidRPr="00A34488" w14:paraId="1D98DBDC" w14:textId="77777777" w:rsidTr="000A49BA">
        <w:tc>
          <w:tcPr>
            <w:tcW w:w="0" w:type="auto"/>
            <w:tcBorders>
              <w:bottom w:val="single" w:sz="6" w:space="0" w:color="E6E6E6"/>
            </w:tcBorders>
            <w:shd w:val="clear" w:color="auto" w:fill="FFFFFF"/>
            <w:hideMark/>
          </w:tcPr>
          <w:p w14:paraId="7EA60B44" w14:textId="77777777" w:rsidR="004459BC" w:rsidRPr="00A34488" w:rsidRDefault="004459BC" w:rsidP="004459BC">
            <w:pPr>
              <w:rPr>
                <w:b/>
                <w:bCs/>
              </w:rPr>
            </w:pPr>
            <w:r w:rsidRPr="00A34488">
              <w:rPr>
                <w:b/>
                <w:bCs/>
              </w:rPr>
              <w:t>Topic Category</w:t>
            </w:r>
          </w:p>
        </w:tc>
        <w:tc>
          <w:tcPr>
            <w:tcW w:w="6010" w:type="dxa"/>
            <w:tcBorders>
              <w:bottom w:val="single" w:sz="6" w:space="0" w:color="E6E6E6"/>
            </w:tcBorders>
            <w:shd w:val="clear" w:color="auto" w:fill="FFFFFF"/>
            <w:hideMark/>
          </w:tcPr>
          <w:p w14:paraId="430B250A" w14:textId="40F52897" w:rsidR="004459BC" w:rsidRPr="00A34488" w:rsidRDefault="004459BC" w:rsidP="004459BC">
            <w:pPr>
              <w:rPr>
                <w:sz w:val="18"/>
                <w:szCs w:val="18"/>
              </w:rPr>
            </w:pPr>
            <w:r>
              <w:rPr>
                <w:sz w:val="18"/>
                <w:szCs w:val="18"/>
              </w:rPr>
              <w:t>Biota</w:t>
            </w:r>
          </w:p>
        </w:tc>
      </w:tr>
      <w:tr w:rsidR="004459BC" w:rsidRPr="00A34488" w14:paraId="533B6701" w14:textId="77777777" w:rsidTr="000A49BA">
        <w:tc>
          <w:tcPr>
            <w:tcW w:w="0" w:type="auto"/>
            <w:tcBorders>
              <w:bottom w:val="single" w:sz="6" w:space="0" w:color="E6E6E6"/>
            </w:tcBorders>
            <w:shd w:val="clear" w:color="auto" w:fill="FFFFFF"/>
            <w:hideMark/>
          </w:tcPr>
          <w:p w14:paraId="0C3737A1" w14:textId="77777777" w:rsidR="004459BC" w:rsidRPr="00A34488" w:rsidRDefault="004459BC" w:rsidP="004459BC">
            <w:pPr>
              <w:rPr>
                <w:b/>
                <w:bCs/>
              </w:rPr>
            </w:pPr>
            <w:r w:rsidRPr="00A34488">
              <w:rPr>
                <w:b/>
                <w:bCs/>
              </w:rPr>
              <w:t>Metadata Date</w:t>
            </w:r>
          </w:p>
        </w:tc>
        <w:tc>
          <w:tcPr>
            <w:tcW w:w="6010" w:type="dxa"/>
            <w:tcBorders>
              <w:bottom w:val="single" w:sz="6" w:space="0" w:color="E6E6E6"/>
            </w:tcBorders>
            <w:shd w:val="clear" w:color="auto" w:fill="FFFFFF"/>
            <w:hideMark/>
          </w:tcPr>
          <w:p w14:paraId="3D5DD183" w14:textId="6483EB51" w:rsidR="004459BC" w:rsidRPr="00A34488" w:rsidRDefault="004459BC" w:rsidP="004459BC">
            <w:pPr>
              <w:rPr>
                <w:sz w:val="18"/>
                <w:szCs w:val="18"/>
              </w:rPr>
            </w:pPr>
            <w:r>
              <w:rPr>
                <w:sz w:val="18"/>
                <w:szCs w:val="18"/>
              </w:rPr>
              <w:t>2021-12-16</w:t>
            </w:r>
          </w:p>
        </w:tc>
      </w:tr>
      <w:tr w:rsidR="004459BC" w:rsidRPr="00A34488" w14:paraId="5BEC41E5" w14:textId="77777777" w:rsidTr="000A49BA">
        <w:tc>
          <w:tcPr>
            <w:tcW w:w="0" w:type="auto"/>
            <w:tcBorders>
              <w:bottom w:val="single" w:sz="6" w:space="0" w:color="E6E6E6"/>
            </w:tcBorders>
            <w:shd w:val="clear" w:color="auto" w:fill="FFFFFF"/>
            <w:hideMark/>
          </w:tcPr>
          <w:p w14:paraId="28EB7817" w14:textId="77777777" w:rsidR="004459BC" w:rsidRPr="00A34488" w:rsidRDefault="004459BC" w:rsidP="004459BC">
            <w:pPr>
              <w:rPr>
                <w:b/>
                <w:bCs/>
              </w:rPr>
            </w:pPr>
            <w:r w:rsidRPr="00A34488">
              <w:rPr>
                <w:b/>
                <w:bCs/>
              </w:rPr>
              <w:t>Date Created</w:t>
            </w:r>
          </w:p>
        </w:tc>
        <w:tc>
          <w:tcPr>
            <w:tcW w:w="6010" w:type="dxa"/>
            <w:tcBorders>
              <w:bottom w:val="single" w:sz="6" w:space="0" w:color="E6E6E6"/>
            </w:tcBorders>
            <w:shd w:val="clear" w:color="auto" w:fill="FFFFFF"/>
            <w:hideMark/>
          </w:tcPr>
          <w:p w14:paraId="6C6AE551" w14:textId="2DFE4AC5" w:rsidR="004459BC" w:rsidRPr="00A34488" w:rsidRDefault="004459BC" w:rsidP="004459BC">
            <w:pPr>
              <w:rPr>
                <w:sz w:val="18"/>
                <w:szCs w:val="18"/>
              </w:rPr>
            </w:pPr>
            <w:r>
              <w:rPr>
                <w:sz w:val="18"/>
                <w:szCs w:val="18"/>
              </w:rPr>
              <w:t>2021-0</w:t>
            </w:r>
            <w:r w:rsidR="00C2765B">
              <w:rPr>
                <w:sz w:val="18"/>
                <w:szCs w:val="18"/>
              </w:rPr>
              <w:t>6</w:t>
            </w:r>
            <w:r>
              <w:rPr>
                <w:sz w:val="18"/>
                <w:szCs w:val="18"/>
              </w:rPr>
              <w:t>-</w:t>
            </w:r>
            <w:r w:rsidR="00C2765B">
              <w:rPr>
                <w:sz w:val="18"/>
                <w:szCs w:val="18"/>
              </w:rPr>
              <w:t>2</w:t>
            </w:r>
            <w:r w:rsidR="00612033">
              <w:rPr>
                <w:sz w:val="18"/>
                <w:szCs w:val="18"/>
              </w:rPr>
              <w:t>4</w:t>
            </w:r>
          </w:p>
        </w:tc>
      </w:tr>
      <w:tr w:rsidR="00C2765B" w:rsidRPr="00A34488" w14:paraId="465BC1F2" w14:textId="77777777" w:rsidTr="000A49BA">
        <w:tc>
          <w:tcPr>
            <w:tcW w:w="0" w:type="auto"/>
            <w:tcBorders>
              <w:bottom w:val="single" w:sz="6" w:space="0" w:color="E6E6E6"/>
            </w:tcBorders>
            <w:shd w:val="clear" w:color="auto" w:fill="FFFFFF"/>
            <w:hideMark/>
          </w:tcPr>
          <w:p w14:paraId="11A8D692" w14:textId="77777777" w:rsidR="00C2765B" w:rsidRPr="00A34488" w:rsidRDefault="00C2765B" w:rsidP="00C2765B">
            <w:pPr>
              <w:rPr>
                <w:b/>
                <w:bCs/>
              </w:rPr>
            </w:pPr>
            <w:r w:rsidRPr="00A34488">
              <w:rPr>
                <w:b/>
                <w:bCs/>
              </w:rPr>
              <w:t>Date Revised</w:t>
            </w:r>
          </w:p>
        </w:tc>
        <w:tc>
          <w:tcPr>
            <w:tcW w:w="6010" w:type="dxa"/>
            <w:tcBorders>
              <w:bottom w:val="single" w:sz="6" w:space="0" w:color="E6E6E6"/>
            </w:tcBorders>
            <w:shd w:val="clear" w:color="auto" w:fill="FFFFFF"/>
            <w:hideMark/>
          </w:tcPr>
          <w:p w14:paraId="153C537E" w14:textId="52B426A7" w:rsidR="00C2765B" w:rsidRPr="00A34488" w:rsidRDefault="00C2765B" w:rsidP="00C2765B">
            <w:pPr>
              <w:rPr>
                <w:sz w:val="18"/>
                <w:szCs w:val="18"/>
              </w:rPr>
            </w:pPr>
            <w:r>
              <w:rPr>
                <w:sz w:val="18"/>
                <w:szCs w:val="18"/>
              </w:rPr>
              <w:t>2021-06-2</w:t>
            </w:r>
            <w:r w:rsidR="00612033">
              <w:rPr>
                <w:sz w:val="18"/>
                <w:szCs w:val="18"/>
              </w:rPr>
              <w:t>4</w:t>
            </w:r>
          </w:p>
        </w:tc>
      </w:tr>
      <w:tr w:rsidR="00C2765B" w:rsidRPr="00A34488" w14:paraId="0471B844" w14:textId="77777777" w:rsidTr="000A49BA">
        <w:tc>
          <w:tcPr>
            <w:tcW w:w="0" w:type="auto"/>
            <w:tcBorders>
              <w:bottom w:val="single" w:sz="6" w:space="0" w:color="E6E6E6"/>
            </w:tcBorders>
            <w:shd w:val="clear" w:color="auto" w:fill="FFFFFF"/>
            <w:hideMark/>
          </w:tcPr>
          <w:p w14:paraId="492C2B18" w14:textId="77777777" w:rsidR="00C2765B" w:rsidRPr="00A34488" w:rsidRDefault="00C2765B" w:rsidP="00C2765B">
            <w:pPr>
              <w:rPr>
                <w:b/>
                <w:bCs/>
              </w:rPr>
            </w:pPr>
            <w:r w:rsidRPr="00A34488">
              <w:rPr>
                <w:b/>
                <w:bCs/>
              </w:rPr>
              <w:t>Date Published</w:t>
            </w:r>
          </w:p>
        </w:tc>
        <w:tc>
          <w:tcPr>
            <w:tcW w:w="6010" w:type="dxa"/>
            <w:tcBorders>
              <w:bottom w:val="single" w:sz="6" w:space="0" w:color="E6E6E6"/>
            </w:tcBorders>
            <w:shd w:val="clear" w:color="auto" w:fill="FFFFFF"/>
            <w:hideMark/>
          </w:tcPr>
          <w:p w14:paraId="3E7E0AD1" w14:textId="3E1953B5" w:rsidR="00C2765B" w:rsidRPr="00A34488" w:rsidRDefault="00C2765B" w:rsidP="00C2765B">
            <w:pPr>
              <w:rPr>
                <w:sz w:val="18"/>
                <w:szCs w:val="18"/>
              </w:rPr>
            </w:pPr>
            <w:r>
              <w:rPr>
                <w:sz w:val="18"/>
                <w:szCs w:val="18"/>
              </w:rPr>
              <w:t>2021-11-16</w:t>
            </w:r>
          </w:p>
        </w:tc>
      </w:tr>
    </w:tbl>
    <w:p w14:paraId="19B6AEFF" w14:textId="77777777" w:rsidR="006F1801" w:rsidRDefault="006F1801"/>
    <w:sectPr w:rsidR="006F18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99A"/>
    <w:rsid w:val="00327AAA"/>
    <w:rsid w:val="003F299A"/>
    <w:rsid w:val="004459BC"/>
    <w:rsid w:val="00493C03"/>
    <w:rsid w:val="00557C9D"/>
    <w:rsid w:val="005677BD"/>
    <w:rsid w:val="00612033"/>
    <w:rsid w:val="00694080"/>
    <w:rsid w:val="006F1801"/>
    <w:rsid w:val="007E4D37"/>
    <w:rsid w:val="008F77D3"/>
    <w:rsid w:val="00906337"/>
    <w:rsid w:val="00B5087D"/>
    <w:rsid w:val="00B87AAD"/>
    <w:rsid w:val="00BB5614"/>
    <w:rsid w:val="00C2765B"/>
    <w:rsid w:val="00C306DE"/>
    <w:rsid w:val="00D5559F"/>
    <w:rsid w:val="00E70035"/>
    <w:rsid w:val="00F6085D"/>
    <w:rsid w:val="00F97A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6150"/>
  <w15:chartTrackingRefBased/>
  <w15:docId w15:val="{829A13F4-23C3-431D-BB25-AB672B4C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6DE"/>
    <w:rPr>
      <w:color w:val="0563C1" w:themeColor="hyperlink"/>
      <w:u w:val="single"/>
    </w:rPr>
  </w:style>
  <w:style w:type="character" w:styleId="UnresolvedMention">
    <w:name w:val="Unresolved Mention"/>
    <w:basedOn w:val="DefaultParagraphFont"/>
    <w:uiPriority w:val="99"/>
    <w:semiHidden/>
    <w:unhideWhenUsed/>
    <w:rsid w:val="007E4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diversityinformatics.amnh.org/open_source/maxent/" TargetMode="External"/><Relationship Id="rId3" Type="http://schemas.openxmlformats.org/officeDocument/2006/relationships/customXml" Target="../customXml/item3.xml"/><Relationship Id="rId7" Type="http://schemas.openxmlformats.org/officeDocument/2006/relationships/hyperlink" Target="https://datasets.seed.nsw.gov.au/dataset/svtm-modelling-grid-collection"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biodiversityinformatics.amnh.org/open_source/maxent/" TargetMode="External"/><Relationship Id="rId4" Type="http://schemas.openxmlformats.org/officeDocument/2006/relationships/styles" Target="styles.xml"/><Relationship Id="rId9" Type="http://schemas.openxmlformats.org/officeDocument/2006/relationships/hyperlink" Target="https://datasets.seed.nsw.gov.au/dataset/svtm-modelling-grid-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BDAE98E23249A2FA786884A9D84D" ma:contentTypeVersion="14" ma:contentTypeDescription="Create a new document." ma:contentTypeScope="" ma:versionID="0f36704d95249cf15e7ee8f1b7180754">
  <xsd:schema xmlns:xsd="http://www.w3.org/2001/XMLSchema" xmlns:xs="http://www.w3.org/2001/XMLSchema" xmlns:p="http://schemas.microsoft.com/office/2006/metadata/properties" xmlns:ns3="5b271ce3-8e8e-4dcd-b9c1-4e3d95bc7c65" xmlns:ns4="8007523a-f30c-41cf-a59a-3e876d2b8f24" targetNamespace="http://schemas.microsoft.com/office/2006/metadata/properties" ma:root="true" ma:fieldsID="1f35fc2d720f34a17294fc8088ee4e55" ns3:_="" ns4:_="">
    <xsd:import namespace="5b271ce3-8e8e-4dcd-b9c1-4e3d95bc7c65"/>
    <xsd:import namespace="8007523a-f30c-41cf-a59a-3e876d2b8f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71ce3-8e8e-4dcd-b9c1-4e3d95bc7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07523a-f30c-41cf-a59a-3e876d2b8f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978EB6-8D31-427C-A9C6-CB8E0DFB71B5}">
  <ds:schemaRefs>
    <ds:schemaRef ds:uri="http://schemas.microsoft.com/sharepoint/v3/contenttype/forms"/>
  </ds:schemaRefs>
</ds:datastoreItem>
</file>

<file path=customXml/itemProps2.xml><?xml version="1.0" encoding="utf-8"?>
<ds:datastoreItem xmlns:ds="http://schemas.openxmlformats.org/officeDocument/2006/customXml" ds:itemID="{89ADC1AE-5071-482B-97D1-DEA4C5038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71ce3-8e8e-4dcd-b9c1-4e3d95bc7c65"/>
    <ds:schemaRef ds:uri="8007523a-f30c-41cf-a59a-3e876d2b8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2D5FC1-7B6F-49BD-B23C-7D3B00E2D88F}">
  <ds:schemaRefs>
    <ds:schemaRef ds:uri="http://schemas.microsoft.com/office/2006/documentManagement/types"/>
    <ds:schemaRef ds:uri="http://www.w3.org/XML/1998/namespace"/>
    <ds:schemaRef ds:uri="http://purl.org/dc/elements/1.1/"/>
    <ds:schemaRef ds:uri="http://purl.org/dc/dcmitype/"/>
    <ds:schemaRef ds:uri="8007523a-f30c-41cf-a59a-3e876d2b8f24"/>
    <ds:schemaRef ds:uri="http://schemas.openxmlformats.org/package/2006/metadata/core-properties"/>
    <ds:schemaRef ds:uri="http://schemas.microsoft.com/office/infopath/2007/PartnerControls"/>
    <ds:schemaRef ds:uri="5b271ce3-8e8e-4dcd-b9c1-4e3d95bc7c65"/>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Jenkins</dc:creator>
  <cp:keywords/>
  <dc:description/>
  <cp:lastModifiedBy>Ross Jenkins</cp:lastModifiedBy>
  <cp:revision>5</cp:revision>
  <dcterms:created xsi:type="dcterms:W3CDTF">2021-12-16T00:52:00Z</dcterms:created>
  <dcterms:modified xsi:type="dcterms:W3CDTF">2021-12-16T02:19:00Z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0x0101003B84BDAE98E23249A2FA786884A9D84D</vt:lpwstr>
  </property>
</Properties>
</file>